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ru-RU"/>
        </w:rPr>
        <w:drawing>
          <wp:inline distT="0" distB="0" distL="0" distR="0">
            <wp:extent cx="5940425" cy="3343275"/>
            <wp:effectExtent l="0" t="0" r="317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подсистеме происходит в несколько этапов: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этапом является подача Заявки на подключение к системе «Электронный бюджет».</w:t>
      </w:r>
    </w:p>
    <w:p>
      <w:pPr>
        <w:spacing w:after="0" w:line="240" w:lineRule="auto"/>
        <w:ind w:firstLine="709"/>
        <w:jc w:val="both"/>
        <w:rPr>
          <w:rStyle w:val="4"/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Заявку на подключение необходимо направить на адрес электронной почты 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u w:val="none"/>
          <w:bdr w:val="none" w:color="auto" w:sz="0" w:space="0"/>
          <w:shd w:val="clear" w:fill="FFFFFF"/>
          <w:vertAlign w:val="baseline"/>
        </w:rPr>
        <w:t>ladinova_ma@msh.udmr.ru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u w:val="none"/>
          <w:bdr w:val="none" w:color="auto" w:sz="0" w:space="0"/>
          <w:shd w:val="clear" w:fill="FFFFFF"/>
          <w:vertAlign w:val="baseline"/>
          <w:lang w:val="ru-RU"/>
        </w:rPr>
        <w:t xml:space="preserve"> </w:t>
      </w:r>
      <w:bookmarkStart w:id="1" w:name="_GoBack"/>
      <w:bookmarkEnd w:id="1"/>
    </w:p>
    <w:p>
      <w:pPr>
        <w:spacing w:after="0" w:line="240" w:lineRule="auto"/>
        <w:ind w:firstLine="709"/>
        <w:jc w:val="both"/>
      </w:pPr>
    </w:p>
    <w:p>
      <w:pPr>
        <w:spacing w:after="0" w:line="240" w:lineRule="auto"/>
        <w:jc w:val="center"/>
        <w:rPr>
          <w:rStyle w:val="4"/>
          <w:rFonts w:ascii="Times New Roman" w:hAnsi="Times New Roman" w:cs="Times New Roman"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5940425" cy="3342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обработки заявки система выдает логин для подключения. Логин отправляется на адрес электронной почты, указанный в заявке вместе с инструкцией по подключению, в которой указаны основные шаги для подключения к системе и способы устранения неполадок (ошибок), которые могут возникнуть в процессе подключения.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этапах подачи заявки и подключения по всем возникающим вопросам можно обратиться к специалистам отдела начисления субсидий и финансирования АПК Министерства сельского хозяйства и продовольствия Удмуртской Республики по телефонам: 570-642, 570-655, 570-647.</w:t>
      </w:r>
    </w:p>
    <w:p/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  <w:t xml:space="preserve">2 этап – это вход в </w:t>
      </w:r>
      <w:r>
        <w:rPr>
          <w:rFonts w:ascii="Times New Roman" w:hAnsi="Times New Roman" w:cs="Times New Roman"/>
          <w:sz w:val="28"/>
          <w:szCs w:val="28"/>
        </w:rPr>
        <w:t>систему «Электронный бюджет».</w:t>
      </w:r>
    </w:p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Для входа в Систему необходимо запустить интернет браузер «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en-US" w:eastAsia="zh-CN"/>
        </w:rPr>
        <w:t>Internet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en-US" w:eastAsia="zh-CN"/>
        </w:rPr>
        <w:t>Explorer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» и в адресной строке ввести </w:t>
      </w:r>
      <w:r>
        <w:fldChar w:fldCharType="begin"/>
      </w:r>
      <w:r>
        <w:instrText xml:space="preserve"> HYPERLINK "http://budget.gov.ru/lk"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http://budget.gov.ru/lk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fldChar w:fldCharType="end"/>
      </w:r>
    </w:p>
    <w:p>
      <w:pPr>
        <w:keepNext/>
        <w:spacing w:before="120" w:after="120" w:line="360" w:lineRule="atLeast"/>
        <w:jc w:val="center"/>
        <w:rPr>
          <w:rFonts w:ascii="Times New Roman CYR" w:hAnsi="Times New Roman CYR" w:eastAsia="Times New Roman" w:cs="Times New Roman"/>
          <w:b/>
          <w:color w:val="000000"/>
          <w:sz w:val="24"/>
          <w:szCs w:val="28"/>
          <w:lang w:eastAsia="zh-CN"/>
        </w:rPr>
      </w:pPr>
      <w:r>
        <w:rPr>
          <w:rFonts w:ascii="Times New Roman CYR" w:hAnsi="Times New Roman CYR" w:eastAsia="Times New Roman" w:cs="Times New Roman"/>
          <w:b/>
          <w:color w:val="000000"/>
          <w:sz w:val="24"/>
          <w:szCs w:val="28"/>
          <w:lang w:eastAsia="ru-RU"/>
        </w:rPr>
        <w:drawing>
          <wp:inline distT="0" distB="0" distL="0" distR="0">
            <wp:extent cx="5303520" cy="45065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after="0" w:line="360" w:lineRule="atLeast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На странице Единого портала бюджетной системы нажмите на кнопку «Переход к подсистеме «Бюджетное планирование». </w:t>
      </w:r>
    </w:p>
    <w:p>
      <w:pPr>
        <w:tabs>
          <w:tab w:val="left" w:pos="0"/>
        </w:tabs>
        <w:spacing w:after="0" w:line="360" w:lineRule="atLeast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После нажатия на кнопку браузер осуществит перенаправление по адресу http://ssl.budgetplan.minfin.ru/ . Если перенаправление не произошло, введите указанную ссылку в адресную строку браузера. </w:t>
      </w:r>
    </w:p>
    <w:p>
      <w:pPr>
        <w:tabs>
          <w:tab w:val="left" w:pos="0"/>
        </w:tabs>
        <w:spacing w:after="0" w:line="360" w:lineRule="atLeast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В появившемся окне, нажмите на кнопку «Вход по сертификату» После выбора метода аутентификации «Вход по сертификату», Система автоматически запросит сертификат и пин-код сертификата, затем произойдет поиск пользователя-владельца сертификата и открытие главного окна Системы. </w:t>
      </w:r>
    </w:p>
    <w:p>
      <w:pPr>
        <w:keepNext/>
        <w:spacing w:before="120" w:after="120" w:line="360" w:lineRule="atLeast"/>
        <w:jc w:val="center"/>
        <w:rPr>
          <w:rFonts w:ascii="Times New Roman CYR" w:hAnsi="Times New Roman CYR" w:eastAsia="Times New Roman" w:cs="Times New Roman"/>
          <w:b/>
          <w:color w:val="000000"/>
          <w:sz w:val="24"/>
          <w:szCs w:val="28"/>
          <w:lang w:val="zh-CN" w:eastAsia="zh-CN"/>
        </w:rPr>
      </w:pPr>
      <w:r>
        <w:rPr>
          <w:rFonts w:ascii="Times New Roman CYR" w:hAnsi="Times New Roman CYR" w:eastAsia="Times New Roman" w:cs="Times New Roman"/>
          <w:b/>
          <w:color w:val="000000"/>
          <w:sz w:val="24"/>
          <w:szCs w:val="28"/>
          <w:lang w:eastAsia="ru-RU"/>
        </w:rPr>
        <w:drawing>
          <wp:inline distT="0" distB="0" distL="0" distR="0">
            <wp:extent cx="4062730" cy="26257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  <w:tab w:val="left" w:pos="1134"/>
        </w:tabs>
        <w:spacing w:before="120" w:after="0" w:line="360" w:lineRule="atLeast"/>
        <w:ind w:firstLine="851"/>
        <w:jc w:val="both"/>
        <w:rPr>
          <w:rFonts w:ascii="Times New Roman" w:hAnsi="Times New Roman" w:eastAsia="Times New Roman" w:cs="Times New Roman"/>
          <w:spacing w:val="2"/>
          <w:sz w:val="28"/>
          <w:szCs w:val="24"/>
          <w:lang w:val="zh-CN"/>
        </w:rPr>
      </w:pPr>
      <w:r>
        <w:rPr>
          <w:rFonts w:ascii="Times New Roman" w:hAnsi="Times New Roman" w:eastAsia="Times New Roman" w:cs="Times New Roman"/>
          <w:spacing w:val="2"/>
          <w:sz w:val="28"/>
          <w:szCs w:val="28"/>
          <w:lang w:val="zh-CN"/>
        </w:rPr>
        <w:t>После выбора логина, необходимо нажать кнопку «Войти».</w:t>
      </w:r>
    </w:p>
    <w:p>
      <w:pPr>
        <w:tabs>
          <w:tab w:val="left" w:pos="709"/>
          <w:tab w:val="left" w:pos="1134"/>
        </w:tabs>
        <w:spacing w:before="120" w:after="0" w:line="360" w:lineRule="atLeast"/>
        <w:jc w:val="center"/>
        <w:rPr>
          <w:rFonts w:ascii="Tahoma" w:hAnsi="Tahoma" w:eastAsia="Times New Roman" w:cs="Times New Roman"/>
          <w:spacing w:val="2"/>
          <w:sz w:val="24"/>
          <w:szCs w:val="24"/>
          <w:lang w:val="zh-CN"/>
        </w:rPr>
      </w:pPr>
      <w:r>
        <w:rPr>
          <w:rFonts w:ascii="Tahoma" w:hAnsi="Tahoma" w:eastAsia="Times New Roman" w:cs="Times New Roman"/>
          <w:spacing w:val="2"/>
          <w:sz w:val="24"/>
          <w:szCs w:val="24"/>
          <w:lang w:eastAsia="ru-RU"/>
        </w:rPr>
        <w:drawing>
          <wp:inline distT="0" distB="0" distL="0" distR="0">
            <wp:extent cx="3931920" cy="27565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35726108"/>
    </w:p>
    <w:bookmarkEnd w:id="0"/>
    <w:p>
      <w:pPr>
        <w:tabs>
          <w:tab w:val="left" w:pos="0"/>
        </w:tabs>
        <w:spacing w:after="0"/>
        <w:ind w:firstLine="927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При первом входе в систему, после успешной аутентификации уполномоченного лица участника системы «Электронный бюджет», отобразится форма Согласия на обработку персональных данных 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Заполните форму Согласия на обработку персональных данных актуальными сведениями. 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Согласие может быть заполнено как вручную, так и посредством получения данных из сертификата посредством нажатия на кнопку «Заполнить ФИО из сертификата».</w:t>
      </w:r>
    </w:p>
    <w:p>
      <w:pPr>
        <w:keepNext/>
        <w:tabs>
          <w:tab w:val="left" w:pos="0"/>
        </w:tabs>
        <w:spacing w:after="0"/>
        <w:jc w:val="center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ru-RU"/>
        </w:rPr>
        <w:drawing>
          <wp:inline distT="0" distB="0" distL="0" distR="0">
            <wp:extent cx="4572000" cy="3043555"/>
            <wp:effectExtent l="0" t="0" r="0" b="4445"/>
            <wp:docPr id="6" name="Рисунок 6" descr="246215494_28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246215494_2887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После заполнения формы нажмите кнопку «Подписать».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После завершения подписи Согласия на обработку персональных данных отобразится рабочее окно Системы (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fldChar w:fldCharType="begin"/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instrText xml:space="preserve"> REF _Ref522021967 \h </w:instrTex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fldChar w:fldCharType="separate"/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Рисунок 36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fldChar w:fldCharType="end"/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).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  <w:t>3 этап работы в системе – это подписание Соглашений о предоставлении субсидий.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Для входа в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  <w:t xml:space="preserve">раздел Соглашения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>нажмите кнопку «Меню»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  <w:t>/</w:t>
      </w:r>
      <w:r>
        <w:rPr>
          <w:rFonts w:ascii="Times New Roman" w:hAnsi="Times New Roman"/>
          <w:sz w:val="28"/>
          <w:szCs w:val="28"/>
        </w:rPr>
        <w:t xml:space="preserve"> «Соглашения / Реестр соглашений ЮЛ, ИП, ФЛ»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  <w:t>В этом разделе системы появится Ваше соглашение на предоставление субсидии, которое необходимо будет подписать в момент перечисления Вам суммы субсидии.</w:t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val="zh-CN" w:eastAsia="zh-CN"/>
        </w:rPr>
      </w:pPr>
    </w:p>
    <w:p>
      <w:pPr>
        <w:keepNext/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643255</wp:posOffset>
                </wp:positionV>
                <wp:extent cx="351155" cy="159385"/>
                <wp:effectExtent l="19050" t="17145" r="20320" b="234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159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3pt;margin-top:50.65pt;height:12.55pt;width:27.65pt;z-index:251659264;mso-width-relative:page;mso-height-relative:page;" filled="f" stroked="t" coordsize="21600,21600" o:gfxdata="UEsDBAoAAAAAAIdO4kAAAAAAAAAAAAAAAAAEAAAAZHJzL1BLAwQUAAAACACHTuJA5Jd6idcAAAAL&#10;AQAADwAAAGRycy9kb3ducmV2LnhtbE2PzU6FMBCF9ya+QzMm7rwtSEC4lBtj4koTI9cHGGgvEGmL&#10;tPz49o4r3c2ZOTnznfK0m5GtevaDsxKigwCmbevUYDsJH+fnuwdgPqBVODqrJXxrD6fq+qrEQrnN&#10;vuu1Dh2jEOsLlNCHMBWc+7bXBv3BTdrS7eJmg4Hk3HE140bhZuSxECk3OFj60OOkn3rdftaLkfD4&#10;tjfpEndZlq/4mif1y759NVLe3kTiCCzoPfyZ4Ref0KEipsYtVnk2ks6SlKw0iOgeGDniOM+BNbSJ&#10;0wR4VfL/HaofUEsDBBQAAAAIAIdO4kAIB9Q5SwIAAFwEAAAOAAAAZHJzL2Uyb0RvYy54bWytVM1u&#10;1DAQviPxDpbvNJttQ7dRs1W1VRFSgUqFB/A6zsbC9hjbu9lyQuKKxCPwEFwQP32G7BsxdrZlWy4c&#10;yCHyZMbfzPf5c45P1lqRlXBegqlovjeiRBgOtTSLir55ff5kQokPzNRMgREVvRaenkwfPzrubCnG&#10;0IKqhSMIYnzZ2Yq2IdgyyzxvhWZ+D6wwmGzAaRYwdIusdqxDdK2y8Wj0NOvA1dYBF97j17MhSbeI&#10;7l8AoWkkF2fAl1qYMKA6oVhASr6V1tNpmrZpBA+vmsaLQFRFkWlIb2yC63l8Z9NjVi4cs63k2xHY&#10;v4zwgJNm0mDTO6gzFhhZOvkXlJbcgYcm7HHQ2UAkKYIs8tEDba5aZkXiglJ7eye6/3+w/OXq0hFZ&#10;oxNQEsM0nnj/ZfNh87n/2d9sPvZf+5v+x+ZT/6v/1n8nWISKddaXuPHKXrrI2dsL4G89MTBrmVmI&#10;U+egawWrcc481mf3NsTA41Yy715Ajf3YMkASb904HQFRFrJOZ3R9d0ZiHQjHj/tFnhcFJRxTeXG0&#10;PylSB1bebrbOh2cCNImLijq0QAJnqwsf4jCsvC2JvQycS6WSDZQhXUXHk+KwSDs8KFnHbCLpFvOZ&#10;cmTF0EmzUXy2je+VaRnwdiipKzrZLVJmK0NkPig4h/oaVXAwmBKvJC5acO8p6dCQFfXvlswJStRz&#10;g0oe5QcH0cEpOCgOxxi43cx8N8MMR6iKBkqG5SwMrl9aJxctdsoTRwOnqH4jkzLxZIaptsOi6ZJg&#10;2wsSXb0bp6o/P4Xp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SXeonXAAAACwEAAA8AAAAAAAAA&#10;AQAgAAAAIgAAAGRycy9kb3ducmV2LnhtbFBLAQIUABQAAAAIAIdO4kAIB9Q5SwIAAFwEAAAOAAAA&#10;AAAAAAEAIAAAACYBAABkcnMvZTJvRG9jLnhtbFBLBQYAAAAABgAGAFkBAADjBQ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0"/>
          <w:lang w:eastAsia="ru-RU"/>
        </w:rPr>
        <w:drawing>
          <wp:inline distT="0" distB="0" distL="0" distR="0">
            <wp:extent cx="4728845" cy="3148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eastAsia="Times New Roman" w:cs="Times New Roman"/>
          <w:spacing w:val="-2"/>
          <w:sz w:val="28"/>
          <w:szCs w:val="28"/>
          <w:lang w:eastAsia="zh-CN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Times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CB0B5B"/>
    <w:multiLevelType w:val="multilevel"/>
    <w:tmpl w:val="29CB0B5B"/>
    <w:lvl w:ilvl="0" w:tentative="0">
      <w:start w:val="1"/>
      <w:numFmt w:val="decimal"/>
      <w:pStyle w:val="7"/>
      <w:lvlText w:val="%1."/>
      <w:lvlJc w:val="lef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2007" w:hanging="360"/>
      </w:pPr>
    </w:lvl>
    <w:lvl w:ilvl="2" w:tentative="0">
      <w:start w:val="1"/>
      <w:numFmt w:val="lowerRoman"/>
      <w:lvlText w:val="%3."/>
      <w:lvlJc w:val="right"/>
      <w:pPr>
        <w:ind w:left="2727" w:hanging="180"/>
      </w:pPr>
    </w:lvl>
    <w:lvl w:ilvl="3" w:tentative="0">
      <w:start w:val="1"/>
      <w:numFmt w:val="decimal"/>
      <w:lvlText w:val="%4."/>
      <w:lvlJc w:val="left"/>
      <w:pPr>
        <w:ind w:left="3447" w:hanging="360"/>
      </w:pPr>
    </w:lvl>
    <w:lvl w:ilvl="4" w:tentative="0">
      <w:start w:val="1"/>
      <w:numFmt w:val="lowerLetter"/>
      <w:lvlText w:val="%5."/>
      <w:lvlJc w:val="left"/>
      <w:pPr>
        <w:ind w:left="4167" w:hanging="360"/>
      </w:pPr>
    </w:lvl>
    <w:lvl w:ilvl="5" w:tentative="0">
      <w:start w:val="1"/>
      <w:numFmt w:val="lowerRoman"/>
      <w:lvlText w:val="%6."/>
      <w:lvlJc w:val="right"/>
      <w:pPr>
        <w:ind w:left="4887" w:hanging="180"/>
      </w:pPr>
    </w:lvl>
    <w:lvl w:ilvl="6" w:tentative="0">
      <w:start w:val="1"/>
      <w:numFmt w:val="decimal"/>
      <w:lvlText w:val="%7."/>
      <w:lvlJc w:val="left"/>
      <w:pPr>
        <w:ind w:left="5607" w:hanging="360"/>
      </w:pPr>
    </w:lvl>
    <w:lvl w:ilvl="7" w:tentative="0">
      <w:start w:val="1"/>
      <w:numFmt w:val="lowerLetter"/>
      <w:lvlText w:val="%8."/>
      <w:lvlJc w:val="left"/>
      <w:pPr>
        <w:ind w:left="6327" w:hanging="360"/>
      </w:pPr>
    </w:lvl>
    <w:lvl w:ilvl="8" w:tentative="0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76"/>
    <w:rsid w:val="001818E2"/>
    <w:rsid w:val="00342558"/>
    <w:rsid w:val="00505F76"/>
    <w:rsid w:val="00B4592E"/>
    <w:rsid w:val="00CD03CE"/>
    <w:rsid w:val="00D75B3A"/>
    <w:rsid w:val="00EE0017"/>
    <w:rsid w:val="1F34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6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paragraph" w:customStyle="1" w:styleId="7">
    <w:name w:val="1)"/>
    <w:basedOn w:val="1"/>
    <w:qFormat/>
    <w:uiPriority w:val="0"/>
    <w:pPr>
      <w:numPr>
        <w:ilvl w:val="0"/>
        <w:numId w:val="1"/>
      </w:numPr>
      <w:tabs>
        <w:tab w:val="left" w:pos="0"/>
      </w:tabs>
      <w:spacing w:after="0"/>
      <w:jc w:val="both"/>
    </w:pPr>
    <w:rPr>
      <w:rFonts w:ascii="Times New Roman" w:hAnsi="Times New Roman" w:eastAsia="Times New Roman" w:cs="Times New Roman"/>
      <w:spacing w:val="-2"/>
      <w:sz w:val="28"/>
      <w:szCs w:val="28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398</Words>
  <Characters>2272</Characters>
  <Lines>18</Lines>
  <Paragraphs>5</Paragraphs>
  <TotalTime>31</TotalTime>
  <ScaleCrop>false</ScaleCrop>
  <LinksUpToDate>false</LinksUpToDate>
  <CharactersWithSpaces>2665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2021-03-29T14:41:00Z</dcterms:created>
  <dc:creator>Митрофанова Т.Г.</dc:creator>
  <cp:lastModifiedBy>Bashegurov_AlN</cp:lastModifiedBy>
  <dcterms:modified xsi:type="dcterms:W3CDTF">2022-07-25T07:17:04Z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0D96C607BEA5461AA46B542F700CBED8</vt:lpwstr>
  </property>
</Properties>
</file>